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47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477635"/>
                    </a:xfrm>
                    <a:prstGeom prst="rect">
                      <a:avLst/>
                    </a:prstGeom>
                    <a:noFill/>
                  </pic:spPr>
                </pic:pic>
              </a:graphicData>
            </a:graphic>
          </wp:anchor>
        </w:drawing>
      </w:r>
    </w:p>
    <w:p>
      <w:pPr>
        <w:spacing w:after="0" w:line="1235" w:lineRule="exact"/>
        <w:rPr>
          <w:sz w:val="24"/>
          <w:szCs w:val="24"/>
          <w:color w:val="auto"/>
        </w:rPr>
      </w:pPr>
    </w:p>
    <w:p>
      <w:pPr>
        <w:sectPr>
          <w:pgSz w:w="11900" w:h="16860"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Shannon John Patrick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52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01/05/2026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60"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01/05/2026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24,907</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7.0766</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2,705,346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01/05/2026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64,265</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1.55</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2,769,611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01/05/2026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25,136</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1.55</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2,794,747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jc w:val="center"/>
              <w:ind w:left="587"/>
              <w:spacing w:after="0"/>
              <w:rPr>
                <w:sz w:val="20"/>
                <w:szCs w:val="20"/>
                <w:color w:val="auto"/>
              </w:rPr>
            </w:pPr>
            <w:r>
              <w:rPr>
                <w:rFonts w:ascii="Times New Roman" w:cs="Times New Roman" w:eastAsia="Times New Roman" w:hAnsi="Times New Roman"/>
                <w:sz w:val="17"/>
                <w:szCs w:val="17"/>
                <w:color w:val="0000FF"/>
                <w:w w:val="98"/>
              </w:rPr>
              <w:t>01/05/2026</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2,900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3.94</w:t>
            </w:r>
          </w:p>
        </w:tc>
        <w:tc>
          <w:tcPr>
            <w:tcW w:w="11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2,797,647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64,265</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02/04/2027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7"/>
                <w:szCs w:val="17"/>
                <w:color w:val="0000FF"/>
                <w:w w:val="98"/>
              </w:rPr>
              <w:t>64,265</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1.55</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01/05/2026</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25,136</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06/12/2027</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7"/>
                <w:szCs w:val="17"/>
                <w:color w:val="0000FF"/>
                <w:w w:val="98"/>
              </w:rPr>
              <w:t>25,136</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1"/>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3.94</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01/05/2026</w:t>
            </w:r>
          </w:p>
        </w:tc>
        <w:tc>
          <w:tcPr>
            <w:tcW w:w="110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2,900</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08/26/2030</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9"/>
              </w:rPr>
              <w:t>2,900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97,100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$7.040 to $7.350,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the stock options on February 4, 2017 pursuant to an award under the Company's 2011 Stock Option/Stock Issuance Plan. 25% of the options vested on the first anniversary of the vesting commencement date, and the remaining 75% of options vested in equal monthly installments over the following three (3) years subject to continued employment through such vesting date.</w:t>
      </w:r>
    </w:p>
    <w:p>
      <w:pPr>
        <w:spacing w:after="0" w:line="17"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the stock options on June 12, 2017 pursuant to an award under the Company's 2011 Stock Option/Stock Issuance Plan. 25% of the options vested on the first anniversary of the vesting commencement date, and the remaining 75% of options vested in equal monthly installments over the following three (3) years subject to continued employment through such vesting date.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the stock options on August 26, 2020 pursuant to an award under the Company's 2018 Stock Option/Stock Issuance Plan. 25% of the options vested on the first anniversary of the vesting commencement date, and the remaining 75% of options vested in equal monthly installments over the following three (3) years subject to continued employment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and Director</w:t>
      </w:r>
    </w:p>
    <w:p>
      <w:pPr>
        <w:spacing w:after="0" w:line="5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6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3595"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2026-01-06T18:21:14Z</dcterms:created>
  <dcterms:modified xsi:type="dcterms:W3CDTF">2026-01-06T18:21:14Z</dcterms:modified>
</cp:coreProperties>
</file>